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24" w:rsidRPr="00263A5E" w:rsidRDefault="00DC247B" w:rsidP="004656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ИНДУСТРИАЛЬНО-ИННОВАЦИОННАЯ </w:t>
      </w:r>
    </w:p>
    <w:p w:rsidR="00DC247B" w:rsidRPr="00263A5E" w:rsidRDefault="00DC247B" w:rsidP="004656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ДЕЯТЕЛЬНОСТЬ АО «САМРУК-ҚАЗЫНА»</w:t>
      </w:r>
    </w:p>
    <w:p w:rsidR="00465624" w:rsidRPr="00263A5E" w:rsidRDefault="00465624" w:rsidP="00465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47B" w:rsidRPr="00263A5E" w:rsidRDefault="00DC247B" w:rsidP="00B206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 разработки и внедрения в группе АО «Самрук-Қазына» (далее – Фонд) инновационных процессов и технологий является одной из основных задач Фонда в соответствии с ЗРК «О Фонде национального благосостояния» от 1 февраля 2012 г. № 550-IV.</w:t>
      </w:r>
    </w:p>
    <w:p w:rsidR="00DC247B" w:rsidRPr="00263A5E" w:rsidRDefault="00DC247B" w:rsidP="00B206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3 июля 2019</w:t>
      </w:r>
      <w:r w:rsidR="00465624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Советом директоров Фонда утверждена Индустриально-инновационная политика Фонда </w:t>
      </w:r>
      <w:r w:rsidR="00465624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в новой редакции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47B" w:rsidRPr="00263A5E" w:rsidRDefault="00DC247B" w:rsidP="00B206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21 августа 2019</w:t>
      </w:r>
      <w:r w:rsidR="00465624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 Научный совет при Правлении Фонда, одной из задач которого является ежегодное рассмотрение Перечня приоритетных задач (Перечень) для дальнейшего утверждения Правлением Фонда в соответствии с «Правилами рассмотрения инновационных инициатив, реализации и внедрения инноваци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й в группе Фонда»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5624" w:rsidRPr="00263A5E" w:rsidRDefault="00465624" w:rsidP="00B206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декабря 2020 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Перечень, основанный на актуальных отраслевых проблемах ПК, рассмотрен на Научном совете Фонда.</w:t>
      </w:r>
    </w:p>
    <w:p w:rsidR="00DC247B" w:rsidRPr="00263A5E" w:rsidRDefault="00465624" w:rsidP="00B206B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января 2021 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Перечень утвержден Правлением Фонда для 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размещ</w:t>
      </w:r>
      <w:r w:rsidR="00B206BE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данном </w:t>
      </w:r>
      <w:r w:rsidR="00DC247B" w:rsidRPr="00263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корпоративном сайте </w:t>
      </w:r>
      <w:r w:rsidR="00B206BE" w:rsidRPr="0026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 целью</w:t>
      </w:r>
      <w:r w:rsidR="00DC247B" w:rsidRPr="00263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изучения и подачи инновационных идей и предложений от отечественных и зарубежных научных и образовательных организаций, мировых компаний-лидеров в различных отраслях деятельности. </w:t>
      </w:r>
    </w:p>
    <w:p w:rsidR="00DC247B" w:rsidRDefault="00DC247B" w:rsidP="00DC247B">
      <w:pPr>
        <w:spacing w:after="0" w:line="240" w:lineRule="auto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724076" w:rsidRPr="00263A5E" w:rsidRDefault="00724076" w:rsidP="0072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263A5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«Перечень приоритетных задач портфельных компаний </w:t>
      </w:r>
    </w:p>
    <w:p w:rsidR="00724076" w:rsidRPr="00263A5E" w:rsidRDefault="00724076" w:rsidP="0072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263A5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АО «Самрук-Қазына»</w:t>
      </w:r>
    </w:p>
    <w:p w:rsidR="00724076" w:rsidRPr="00263A5E" w:rsidRDefault="00724076" w:rsidP="0072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24076" w:rsidRPr="00263A5E" w:rsidRDefault="00724076" w:rsidP="0072407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263A5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АО НК «КазМунайГаз» (КМГ)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344"/>
        <w:gridCol w:w="5990"/>
      </w:tblGrid>
      <w:tr w:rsidR="00263A5E" w:rsidRPr="00263A5E" w:rsidTr="004941C2">
        <w:trPr>
          <w:trHeight w:val="823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28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63A5E" w:rsidRPr="00263A5E" w:rsidTr="004941C2">
        <w:trPr>
          <w:trHeight w:val="28"/>
        </w:trPr>
        <w:tc>
          <w:tcPr>
            <w:tcW w:w="9846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Сквозные направления, применимые ко всем видам деятельности КМГ</w:t>
            </w:r>
          </w:p>
        </w:tc>
      </w:tr>
      <w:tr w:rsidR="00263A5E" w:rsidRPr="00263A5E" w:rsidTr="004941C2">
        <w:trPr>
          <w:trHeight w:val="3973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Повышение надежности и целостности технологического  и энергетического оборудования, а также магистральных и внутрипромысловых трубопроводов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риск-ориентированного управления производственными активами в соответствии со стандартами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серии 55000, в т.ч. информационные системы управления производственными активами (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EAM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-система,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CMMS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) с целью эффективного управления рисками, сокращения времени простоев оборудования, планирования бюджета в области закупа оборудования и его обслуживания, контроля исполнения бюджета и сокращения трудозатрат и эффективное использование рабочего времени сотрудников.</w:t>
            </w:r>
          </w:p>
        </w:tc>
      </w:tr>
      <w:tr w:rsidR="00263A5E" w:rsidRPr="00263A5E" w:rsidTr="004941C2">
        <w:trPr>
          <w:trHeight w:val="96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F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F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F06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63A5E" w:rsidRPr="00263A5E" w:rsidTr="004941C2">
        <w:trPr>
          <w:trHeight w:val="765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Повышение энергоэффективности объектов производства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Опытно-промышленное испытание и применение технологии по снижению удельных затрат на выработку электроэнергии с учетом увеличения доли полезного использования попутного нефтяного газа и задействования возобновляемых источников энергии, в частности удаленных от сетевой инфраструктуры объектов.</w:t>
            </w:r>
          </w:p>
        </w:tc>
      </w:tr>
      <w:tr w:rsidR="00263A5E" w:rsidRPr="00263A5E" w:rsidTr="004941C2">
        <w:trPr>
          <w:trHeight w:val="852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и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систем автоматизации и современных цифровых технологий, технологий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искусственного интеллекта по повышению надежности и эффективности технологических процессов добычи, нефтепереработки и транспортировки, и снижению удельных затрат. </w:t>
            </w:r>
          </w:p>
        </w:tc>
      </w:tr>
      <w:tr w:rsidR="00263A5E" w:rsidRPr="00263A5E" w:rsidTr="004941C2">
        <w:trPr>
          <w:trHeight w:val="461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негативного воздействия на окружающую среду 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наилучших доступных технологий (НДТ) по снижению негативного воздействия на окружающую среду. </w:t>
            </w:r>
          </w:p>
        </w:tc>
      </w:tr>
      <w:tr w:rsidR="00263A5E" w:rsidRPr="00263A5E" w:rsidTr="004941C2">
        <w:trPr>
          <w:trHeight w:val="510"/>
        </w:trPr>
        <w:tc>
          <w:tcPr>
            <w:tcW w:w="9846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Бизнес-направление «Разведка и добыча»</w:t>
            </w:r>
          </w:p>
        </w:tc>
      </w:tr>
      <w:tr w:rsidR="00263A5E" w:rsidRPr="00263A5E" w:rsidTr="004941C2">
        <w:trPr>
          <w:trHeight w:val="345"/>
        </w:trPr>
        <w:tc>
          <w:tcPr>
            <w:tcW w:w="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нефтеотдачи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и интенсификации притока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Поиск новых технологий и проведение ОПИ вторичных и третичных методов увеличения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нефтеотдачи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на месторождениях группы компаний АО НК «КазМунайГаз».</w:t>
            </w:r>
          </w:p>
        </w:tc>
      </w:tr>
      <w:tr w:rsidR="00263A5E" w:rsidRPr="00263A5E" w:rsidTr="004941C2">
        <w:trPr>
          <w:trHeight w:val="459"/>
        </w:trPr>
        <w:tc>
          <w:tcPr>
            <w:tcW w:w="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трудноизвлекаемых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запасов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Поиск, адаптация и внедрение новых технологий, применяемых при разработке месторождений нефти и способных обеспечить рентабельную добычу. </w:t>
            </w:r>
          </w:p>
        </w:tc>
      </w:tr>
      <w:tr w:rsidR="00263A5E" w:rsidRPr="00263A5E" w:rsidTr="004941C2">
        <w:trPr>
          <w:trHeight w:val="3208"/>
        </w:trPr>
        <w:tc>
          <w:tcPr>
            <w:tcW w:w="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карбонатных /</w:t>
            </w:r>
          </w:p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трещиноватых коллекторов 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лучших мировых практик по петрофизическому моделированию, исследованиям на керне и применению специального комплекса геофизических исследований карбонатных и трещиноватых коллекторов месторождений. Применение передовых технологий и процессов в области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геомеханических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, гидродинамических исследований, объектном моделировании и методов увеличения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нефтеотдачи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карбонатных и трещиноватых коллекторов.</w:t>
            </w:r>
          </w:p>
        </w:tc>
      </w:tr>
      <w:tr w:rsidR="00263A5E" w:rsidRPr="00263A5E" w:rsidTr="004941C2">
        <w:trPr>
          <w:trHeight w:val="408"/>
        </w:trPr>
        <w:tc>
          <w:tcPr>
            <w:tcW w:w="9846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Бизнес-направление «Транспортировка нефти»</w:t>
            </w:r>
          </w:p>
        </w:tc>
      </w:tr>
      <w:tr w:rsidR="00263A5E" w:rsidRPr="00263A5E" w:rsidTr="004941C2">
        <w:trPr>
          <w:trHeight w:val="1486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Снижение стоимости процесса очистки РВС и уровня риска возникновения травм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Мобильные технологии очистки резервуаров (РВС) от донных отложений с максимальным исключением человеческого фактора.</w:t>
            </w:r>
          </w:p>
        </w:tc>
      </w:tr>
      <w:tr w:rsidR="00263A5E" w:rsidRPr="00263A5E" w:rsidTr="004941C2">
        <w:trPr>
          <w:trHeight w:val="96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19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19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19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63A5E" w:rsidRPr="00263A5E" w:rsidTr="004941C2">
        <w:trPr>
          <w:trHeight w:val="2865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Внедрение высокоточных методов диагностики технологических трубопроводов нефтеперекачивающих станций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электромагнитного акустического преобразователя (ультразвуковая технология), использующий сенсоры, настроенные на типы волн и определяющие области отслоения изоляционного покрытия. Системы мониторинга технического состояния магистральных и технологических трубопроводов. </w:t>
            </w:r>
          </w:p>
        </w:tc>
      </w:tr>
      <w:tr w:rsidR="00263A5E" w:rsidRPr="00263A5E" w:rsidTr="004941C2">
        <w:trPr>
          <w:trHeight w:val="1799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Снижение коррозии оборудования и сооружений магистральных нефтепроводов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Поиск, проведение ОПИ инновационных антикоррозийных технологий и материалов, успешно применяемых в мире. </w:t>
            </w:r>
          </w:p>
        </w:tc>
      </w:tr>
      <w:tr w:rsidR="00263A5E" w:rsidRPr="00263A5E" w:rsidTr="004941C2">
        <w:trPr>
          <w:trHeight w:val="536"/>
        </w:trPr>
        <w:tc>
          <w:tcPr>
            <w:tcW w:w="9846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Бизнес-направление «Добыча и транспортировка газа»</w:t>
            </w:r>
          </w:p>
        </w:tc>
      </w:tr>
      <w:tr w:rsidR="00263A5E" w:rsidRPr="00263A5E" w:rsidTr="004941C2">
        <w:trPr>
          <w:trHeight w:val="1606"/>
        </w:trPr>
        <w:tc>
          <w:tcPr>
            <w:tcW w:w="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добычи газа, интенсификации притока и снижение удельных затрат на добычу 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Поиск новых технологий и проведение ОПИ по увеличению добычи газа на месторождениях группы компаний АО «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КазТрансГаз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63A5E" w:rsidRPr="00263A5E" w:rsidTr="004941C2">
        <w:trPr>
          <w:trHeight w:val="1807"/>
        </w:trPr>
        <w:tc>
          <w:tcPr>
            <w:tcW w:w="5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Увеличение добычи и переработки сырого газа с использованием современных оптимальных технологий</w:t>
            </w:r>
          </w:p>
        </w:tc>
        <w:tc>
          <w:tcPr>
            <w:tcW w:w="598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Подбор оптимальных  технологий по переработке сырого газа с целью получения продуктов переработки газа высокого качества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3A5E" w:rsidRPr="00263A5E" w:rsidTr="004941C2">
        <w:trPr>
          <w:trHeight w:val="535"/>
        </w:trPr>
        <w:tc>
          <w:tcPr>
            <w:tcW w:w="9846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Бизнес-направление «Нефтепереработка»</w:t>
            </w:r>
          </w:p>
        </w:tc>
      </w:tr>
      <w:tr w:rsidR="00263A5E" w:rsidRPr="00263A5E" w:rsidTr="004941C2">
        <w:trPr>
          <w:trHeight w:val="1799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Снижение коррозионного износа оборудования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инновационных антикоррозионных покрытий оборудования. Поиск инновационных антикоррозийных технологий и материалов, успешно применяемых в мире. </w:t>
            </w:r>
          </w:p>
        </w:tc>
      </w:tr>
      <w:tr w:rsidR="00724076" w:rsidRPr="00263A5E" w:rsidTr="004941C2">
        <w:trPr>
          <w:trHeight w:val="1527"/>
        </w:trPr>
        <w:tc>
          <w:tcPr>
            <w:tcW w:w="5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Снижение безвозвратных потерь</w:t>
            </w:r>
          </w:p>
        </w:tc>
        <w:tc>
          <w:tcPr>
            <w:tcW w:w="59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инновационных решений (технических, технологических, экологических), направленные на уменьшение объема потерь и топливных ресурсов.</w:t>
            </w:r>
          </w:p>
        </w:tc>
      </w:tr>
    </w:tbl>
    <w:p w:rsidR="00724076" w:rsidRPr="00263A5E" w:rsidRDefault="00724076" w:rsidP="0072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ACF" w:rsidRPr="00263A5E" w:rsidRDefault="00EF3ACF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CF" w:rsidRPr="00263A5E" w:rsidRDefault="00EF3ACF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CF" w:rsidRPr="00263A5E" w:rsidRDefault="00EF3ACF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CF" w:rsidRPr="00263A5E" w:rsidRDefault="00EF3ACF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076" w:rsidRPr="00263A5E" w:rsidRDefault="00724076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АО «</w:t>
      </w:r>
      <w:r w:rsidRPr="00263A5E">
        <w:rPr>
          <w:rFonts w:ascii="Times New Roman" w:hAnsi="Times New Roman" w:cs="Times New Roman"/>
          <w:b/>
          <w:bCs/>
          <w:sz w:val="28"/>
          <w:szCs w:val="28"/>
          <w:lang w:val="en-US"/>
        </w:rPr>
        <w:t>KEGOC</w:t>
      </w:r>
      <w:r w:rsidRPr="00263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209"/>
        <w:gridCol w:w="6064"/>
      </w:tblGrid>
      <w:tr w:rsidR="00263A5E" w:rsidRPr="00263A5E" w:rsidTr="004941C2">
        <w:trPr>
          <w:trHeight w:val="33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1630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Проект по внедрению накопителей энергии.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Внедрение систем накопителей энергии, с подключением к автоматике регулирования частоты и мощности (АРЧМ), в целях обеспечения баланса производства-потребления электроэнергии внутри расчетного периода (месяца), минимизации отклонения производства – потребления, составляющего в среднем ± 500 МВт, максимально до 1000 МВт. Располагаемые маневренные резервы на казахстанских электростанциях недостаточны для полного покрытия дисбалансов ЕЭС Казахстана.</w:t>
            </w:r>
          </w:p>
        </w:tc>
      </w:tr>
      <w:tr w:rsidR="00724076" w:rsidRPr="00263A5E" w:rsidTr="004941C2">
        <w:trPr>
          <w:trHeight w:val="532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Проект по компенсации реактивной мощности ЕЭС Казахстана.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разработки технико-экономического исследования по внедрению гибких систем передачи переменного тока (FACTS) в целях решения вопросов регулирования и компенсация реактивной мощности НЭС РК, в том числе за счет размещения дополнительных управляемых устройств компенсации реактивной мощности на соответствующих подстанциях 500/220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</w:p>
        </w:tc>
      </w:tr>
    </w:tbl>
    <w:p w:rsidR="00724076" w:rsidRPr="00263A5E" w:rsidRDefault="00724076" w:rsidP="0072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76" w:rsidRPr="00263A5E" w:rsidRDefault="00724076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Pr="00263A5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263A5E">
        <w:rPr>
          <w:rFonts w:ascii="Times New Roman" w:hAnsi="Times New Roman" w:cs="Times New Roman"/>
          <w:b/>
          <w:bCs/>
          <w:sz w:val="28"/>
          <w:szCs w:val="28"/>
        </w:rPr>
        <w:t>НАК «</w:t>
      </w:r>
      <w:proofErr w:type="spellStart"/>
      <w:r w:rsidRPr="00263A5E">
        <w:rPr>
          <w:rFonts w:ascii="Times New Roman" w:hAnsi="Times New Roman" w:cs="Times New Roman"/>
          <w:b/>
          <w:bCs/>
          <w:sz w:val="28"/>
          <w:szCs w:val="28"/>
        </w:rPr>
        <w:t>Казатомпром</w:t>
      </w:r>
      <w:proofErr w:type="spellEnd"/>
      <w:r w:rsidRPr="00263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214"/>
        <w:gridCol w:w="6059"/>
      </w:tblGrid>
      <w:tr w:rsidR="00263A5E" w:rsidRPr="00263A5E" w:rsidTr="004941C2">
        <w:trPr>
          <w:trHeight w:val="383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6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2237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высокоэффективных/ высокоскоростных методов бурения и сооружения скважин </w:t>
            </w:r>
          </w:p>
        </w:tc>
        <w:tc>
          <w:tcPr>
            <w:tcW w:w="6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технологий бурения и сооружения скважин, направленных на снижение затрат и времени. </w:t>
            </w:r>
          </w:p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Внедрение цифровых технологий «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» при бурении и сооружении скважин, направленные на повышение МРЦ (межремонтный цикл) скважин и снижение себестоимости работ. </w:t>
            </w:r>
          </w:p>
        </w:tc>
      </w:tr>
      <w:tr w:rsidR="00724076" w:rsidRPr="00263A5E" w:rsidTr="004941C2">
        <w:trPr>
          <w:trHeight w:val="815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переработки урановых растворов</w:t>
            </w:r>
          </w:p>
        </w:tc>
        <w:tc>
          <w:tcPr>
            <w:tcW w:w="60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экономически эффективных технологий переработки урана, направленных на применение альтернативных химических реагентов с целью снижения себестоимости производства. </w:t>
            </w:r>
          </w:p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Разработка новой технологии извлечения урана из растворов без использования синтетических ионообменных смол, направленной на снижение себестоимости производства.</w:t>
            </w:r>
          </w:p>
        </w:tc>
      </w:tr>
    </w:tbl>
    <w:p w:rsidR="00724076" w:rsidRPr="00263A5E" w:rsidRDefault="00724076" w:rsidP="0072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76" w:rsidRPr="00263A5E" w:rsidRDefault="00724076" w:rsidP="00EF3AC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АО «Самрук-</w:t>
      </w:r>
      <w:proofErr w:type="spellStart"/>
      <w:r w:rsidRPr="00263A5E">
        <w:rPr>
          <w:rFonts w:ascii="Times New Roman" w:hAnsi="Times New Roman" w:cs="Times New Roman"/>
          <w:b/>
          <w:bCs/>
          <w:sz w:val="28"/>
          <w:szCs w:val="28"/>
        </w:rPr>
        <w:t>Энерго</w:t>
      </w:r>
      <w:proofErr w:type="spellEnd"/>
      <w:r w:rsidRPr="00263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210"/>
        <w:gridCol w:w="6063"/>
      </w:tblGrid>
      <w:tr w:rsidR="00263A5E" w:rsidRPr="00263A5E" w:rsidTr="004941C2">
        <w:trPr>
          <w:trHeight w:val="251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1953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топочных процессов на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котлоагрегатах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при сжигании Экибастузского угля с минимизацией выбросов оксидов азота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Проведение наладочных работ и экспериментальных исследований по сжиганию высокозольного Экибастузского угля в условиях действующих электростанций, по результатам проведенных исследований предложить практические решения по снижению выбросов оксидов азота с использованием лучших технологий организации топочного процесса.</w:t>
            </w:r>
          </w:p>
        </w:tc>
      </w:tr>
      <w:tr w:rsidR="00263A5E" w:rsidRPr="00263A5E" w:rsidTr="004941C2">
        <w:trPr>
          <w:trHeight w:val="393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золошлаковых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отходов, находящихся на гидравлическом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золоотвале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и на складе сухого складирования с целью разработки механизмов полной утилизации и применения в промышленности города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актуальной программы по 100% утилизации и ликвидации складов золы, с восстановлением естественного ландшафта месторасположения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076" w:rsidRPr="00263A5E" w:rsidTr="004941C2">
        <w:trPr>
          <w:trHeight w:val="1729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движения воздушной среды г. Алматы и поступления загрязняющих веществ от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алматинских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ТЭЦ 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работы по моделированию движении выбросов из дымовых труб ТЭЦ и площади рассеивания загрязняющих веществ с учетом розы ветров района размещения станций. </w:t>
            </w:r>
          </w:p>
        </w:tc>
      </w:tr>
    </w:tbl>
    <w:p w:rsidR="00724076" w:rsidRPr="00263A5E" w:rsidRDefault="00724076" w:rsidP="00724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076" w:rsidRPr="00263A5E" w:rsidRDefault="00724076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Pr="00263A5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263A5E">
        <w:rPr>
          <w:rFonts w:ascii="Times New Roman" w:hAnsi="Times New Roman" w:cs="Times New Roman"/>
          <w:b/>
          <w:bCs/>
          <w:sz w:val="28"/>
          <w:szCs w:val="28"/>
        </w:rPr>
        <w:t>Казахтелеком</w:t>
      </w:r>
      <w:proofErr w:type="spellEnd"/>
      <w:r w:rsidRPr="00263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36"/>
        <w:gridCol w:w="6237"/>
      </w:tblGrid>
      <w:tr w:rsidR="00263A5E" w:rsidRPr="00263A5E" w:rsidTr="004941C2">
        <w:trPr>
          <w:trHeight w:val="202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3795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Внедрение решений по Blockchain</w:t>
            </w:r>
          </w:p>
        </w:tc>
        <w:tc>
          <w:tcPr>
            <w:tcW w:w="623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размещение корпоративных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блокчейн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-систем на базе распределенной инфраструктуры дата-центров АО «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» для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корпоративных клиентов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; Это позволит улучшить процессы управления цепочками поставок для государственных закупок, 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закупок, онлайн голосования, операции с ценными бумагами, клиринг,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краудинвестинг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, реестры имущества и прав собственности, децентрализованное хранение данных, идентификация пользователей и клиентов, при использовании смарт-контрактов, подтверждение актуальности идентификационных данных.</w:t>
            </w:r>
          </w:p>
        </w:tc>
      </w:tr>
    </w:tbl>
    <w:p w:rsidR="00724076" w:rsidRPr="00263A5E" w:rsidRDefault="00724076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АО </w:t>
      </w:r>
      <w:r w:rsidRPr="00263A5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263A5E">
        <w:rPr>
          <w:rFonts w:ascii="Times New Roman" w:hAnsi="Times New Roman" w:cs="Times New Roman"/>
          <w:b/>
          <w:bCs/>
          <w:sz w:val="28"/>
          <w:szCs w:val="28"/>
        </w:rPr>
        <w:t>НК «</w:t>
      </w:r>
      <w:r w:rsidRPr="00263A5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Темір Жолы</w:t>
      </w:r>
      <w:r w:rsidRPr="00263A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923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046"/>
        <w:gridCol w:w="6379"/>
      </w:tblGrid>
      <w:tr w:rsidR="00263A5E" w:rsidRPr="00263A5E" w:rsidTr="004941C2">
        <w:trPr>
          <w:trHeight w:val="371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Приоритетное направление и задачи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56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63A5E" w:rsidRPr="00263A5E" w:rsidTr="004941C2">
        <w:trPr>
          <w:trHeight w:val="2400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Микропроцессорная централизация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функционального аналога релейной электрической централизации (ЭЦ), для перевода релейных систем ЭЦ на микропроцессорную элементную базу с сохранением правил управления устройствами сигнализации, централизации и блокировки (СЦБ) и действий дежурного по станции при обеспечении требуемой степени безопасности и безотказности. </w:t>
            </w:r>
          </w:p>
        </w:tc>
      </w:tr>
      <w:tr w:rsidR="00263A5E" w:rsidRPr="00263A5E" w:rsidTr="004941C2">
        <w:trPr>
          <w:trHeight w:val="1065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изготовления полимерной шпалы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Основными преимуществами композитных железнодорожных шпал по сравнению с деревянными и железобетонными аналогами являются: − продолжительный срок службы (более 50-ти лет), шпалы выдерживают как высокие, так и низкие температуры без изменения характеристик даже в условиях повышенной влажности. Железнодорожные шпалы из переработанного пластика могут значительно сократить финансовые и кадровые затраты на их обслуживание и решить проблему утилизации пластиковых отходов.</w:t>
            </w:r>
          </w:p>
        </w:tc>
      </w:tr>
      <w:tr w:rsidR="00263A5E" w:rsidRPr="00263A5E" w:rsidTr="004941C2">
        <w:trPr>
          <w:trHeight w:val="1065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оповещения ремонтных бригад о приближении поезда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Устройство оповещения о приближении поезда: комплекс технических средств, предназначенный для предупреждения ремонтных бригад о приближении железнодорожного поезда, в том числе на участках не покрытых сотовой связью в целях исключения производственных травм и несчастных случаев.</w:t>
            </w:r>
          </w:p>
        </w:tc>
      </w:tr>
      <w:tr w:rsidR="00263A5E" w:rsidRPr="00263A5E" w:rsidTr="004941C2">
        <w:trPr>
          <w:trHeight w:val="4951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контроля намагничивания рельс на изолированных стыках.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85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большое внимание уделяется развитию скоростного движения, следовательно, к повышенным требованиям безопасности и надежной работы железнодорожного пути, что во многом зависит от состояния изолирующих стыков железнодорожных рельсов. На фоне значительного повышения срока службы изолирующих стыков в последнее время обострилась проблема замыкания рельсов в изолирующем стыке металлическими продуктами износа рельсов и колес. Необходимо решить проблему самопроизвольного перекрытия светофоров из-за образования шунтирующего мостика на изолирующем стыке рельсового пути, который выполняет роль элемента электрической цепи в системах автоматического контроля. </w:t>
            </w:r>
          </w:p>
        </w:tc>
      </w:tr>
      <w:tr w:rsidR="00263A5E" w:rsidRPr="00263A5E" w:rsidTr="004941C2">
        <w:trPr>
          <w:trHeight w:val="29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5FFC" w:rsidRPr="00263A5E" w:rsidRDefault="00855FFC" w:rsidP="00855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5FFC" w:rsidRPr="00263A5E" w:rsidRDefault="00855FFC" w:rsidP="00855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5FFC" w:rsidRPr="00263A5E" w:rsidRDefault="00855FFC" w:rsidP="00855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63A5E" w:rsidRPr="00263A5E" w:rsidTr="004941C2">
        <w:trPr>
          <w:trHeight w:val="549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0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Разработка интегрированной локомотивной системы безопасности</w:t>
            </w:r>
          </w:p>
        </w:tc>
        <w:tc>
          <w:tcPr>
            <w:tcW w:w="63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комплексной системы, предназначенной для реализации функций обеспечения безопасности движения, информирования машиниста в части безопасности движения и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автоведения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, обмена информацией с информационными системами АО «НК «ҚТЖ», регистрации параметров движения и диагностической информации, записи и хранения аудио и видеоинформации о путевой обстановке и действиях локомотивной бригады.</w:t>
            </w:r>
          </w:p>
        </w:tc>
      </w:tr>
    </w:tbl>
    <w:p w:rsidR="00724076" w:rsidRPr="00263A5E" w:rsidRDefault="00724076" w:rsidP="0072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76" w:rsidRPr="00263A5E" w:rsidRDefault="00724076" w:rsidP="00724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076" w:rsidRPr="00263A5E" w:rsidRDefault="00724076" w:rsidP="0072407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A5E">
        <w:rPr>
          <w:rFonts w:ascii="Times New Roman" w:hAnsi="Times New Roman" w:cs="Times New Roman"/>
          <w:b/>
          <w:bCs/>
          <w:sz w:val="28"/>
          <w:szCs w:val="28"/>
        </w:rPr>
        <w:t>АО «НГК «Тау-Кен Самрук»</w:t>
      </w:r>
    </w:p>
    <w:tbl>
      <w:tblPr>
        <w:tblW w:w="9923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365"/>
        <w:gridCol w:w="6060"/>
      </w:tblGrid>
      <w:tr w:rsidR="00263A5E" w:rsidRPr="00263A5E" w:rsidTr="004941C2">
        <w:trPr>
          <w:trHeight w:val="396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направления и задачи</w:t>
            </w:r>
          </w:p>
        </w:tc>
        <w:tc>
          <w:tcPr>
            <w:tcW w:w="60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Возможное решение задачи</w:t>
            </w:r>
          </w:p>
        </w:tc>
      </w:tr>
      <w:tr w:rsidR="00263A5E" w:rsidRPr="00263A5E" w:rsidTr="004941C2">
        <w:trPr>
          <w:trHeight w:val="992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Новые методы и технологии в поисках месторождений при ведении геологоразведки</w:t>
            </w:r>
          </w:p>
        </w:tc>
        <w:tc>
          <w:tcPr>
            <w:tcW w:w="60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методов и технологий в геологоразведочной отрасли, позволяющих сократить сроки, повысить эффективность разведки и изученность перспективных площадей (аэросъемка, спутниковые технологии). </w:t>
            </w:r>
          </w:p>
        </w:tc>
      </w:tr>
      <w:tr w:rsidR="00263A5E" w:rsidRPr="00263A5E" w:rsidTr="004941C2">
        <w:trPr>
          <w:trHeight w:val="1100"/>
        </w:trPr>
        <w:tc>
          <w:tcPr>
            <w:tcW w:w="4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Низкозатратные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обогащения и переработки золото-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мышьяксодержащих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руд</w:t>
            </w:r>
          </w:p>
        </w:tc>
        <w:tc>
          <w:tcPr>
            <w:tcW w:w="60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4076" w:rsidRPr="00263A5E" w:rsidRDefault="00724076" w:rsidP="0072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низкозатратных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обогащения золото-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мышьяксодержащих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руд и дальнейшей переработки концентратов, в связи с значительным содержанием вредной примеси в виде мышьяка. Решение проблемы позволит вовлекать в разработку месторождения с </w:t>
            </w:r>
            <w:proofErr w:type="spellStart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>мышьяксодержащими</w:t>
            </w:r>
            <w:proofErr w:type="spellEnd"/>
            <w:r w:rsidRPr="00263A5E">
              <w:rPr>
                <w:rFonts w:ascii="Times New Roman" w:hAnsi="Times New Roman" w:cs="Times New Roman"/>
                <w:sz w:val="28"/>
                <w:szCs w:val="28"/>
              </w:rPr>
              <w:t xml:space="preserve"> рудами.</w:t>
            </w:r>
          </w:p>
        </w:tc>
      </w:tr>
    </w:tbl>
    <w:p w:rsidR="00724076" w:rsidRPr="00263A5E" w:rsidRDefault="00724076" w:rsidP="00724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76" w:rsidRPr="00263A5E" w:rsidRDefault="00724076" w:rsidP="00724076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24076" w:rsidRPr="00C50EC1" w:rsidRDefault="00724076" w:rsidP="00724076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EC1" w:rsidRDefault="00C50EC1" w:rsidP="00C50EC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0EC1" w:rsidRDefault="00C50EC1" w:rsidP="00C50EC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5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и предложения предлагается </w:t>
      </w:r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направлять </w:t>
      </w:r>
      <w:r w:rsidR="00DB58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адрес </w:t>
      </w:r>
      <w:r w:rsidR="00DB58B7"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«Самрук-Қазына»</w:t>
      </w:r>
      <w:r w:rsidR="00DB58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B58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bookmarkStart w:id="0" w:name="_GoBack"/>
      <w:bookmarkEnd w:id="0"/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6" w:history="1">
        <w:r w:rsidRPr="00C50E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innovations</w:t>
        </w:r>
        <w:r w:rsidRPr="00C50E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C50E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</w:t>
        </w:r>
        <w:proofErr w:type="spellEnd"/>
        <w:r w:rsidRPr="00C50E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50E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0B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имеющиеся</w:t>
      </w:r>
      <w:r w:rsidR="0029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могут быть обсуждены по тел. </w:t>
      </w:r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+7(7172)554026.</w:t>
      </w:r>
    </w:p>
    <w:p w:rsidR="00C50EC1" w:rsidRPr="00C50EC1" w:rsidRDefault="00C50EC1" w:rsidP="00C50EC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«Самрук-Қазына»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располагается по адресу:</w:t>
      </w:r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010000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50E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Республика Казахстан, г.Нур-Султан, ул. Е-10, дом 17/10, тел. канцелярии: +7(7172)554001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C50EC1" w:rsidRPr="00C50EC1" w:rsidSect="004656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A2B80"/>
    <w:multiLevelType w:val="hybridMultilevel"/>
    <w:tmpl w:val="FBB4DF5C"/>
    <w:lvl w:ilvl="0" w:tplc="7E24A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70A7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8CAA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080E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3EE7F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DB63A9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54E29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B660F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88D0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2"/>
    <w:rsid w:val="000B3ADD"/>
    <w:rsid w:val="00137336"/>
    <w:rsid w:val="00263A5E"/>
    <w:rsid w:val="00284B62"/>
    <w:rsid w:val="00294FCD"/>
    <w:rsid w:val="00465624"/>
    <w:rsid w:val="004941C2"/>
    <w:rsid w:val="00724076"/>
    <w:rsid w:val="00785E09"/>
    <w:rsid w:val="00855FFC"/>
    <w:rsid w:val="008F5A84"/>
    <w:rsid w:val="00B206BE"/>
    <w:rsid w:val="00C236C9"/>
    <w:rsid w:val="00C50EC1"/>
    <w:rsid w:val="00DB58B7"/>
    <w:rsid w:val="00DC247B"/>
    <w:rsid w:val="00E70BD8"/>
    <w:rsid w:val="00E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621A7-E80B-4209-B8C0-34703BD0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5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novations@sk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85AC-DA0B-4589-AB2A-B0A6EF70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Makuov, Talgat</dc:creator>
  <cp:keywords/>
  <dc:description/>
  <cp:lastModifiedBy>Makuov, Talgat</cp:lastModifiedBy>
  <cp:revision>17</cp:revision>
  <dcterms:created xsi:type="dcterms:W3CDTF">2021-01-14T06:44:00Z</dcterms:created>
  <dcterms:modified xsi:type="dcterms:W3CDTF">2021-02-03T06:53:00Z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INTRANET\T-Makuov</vt:lpwstr>
  </property>
  <property fmtid="{D5CDD505-2E9C-101B-9397-08002B2CF9AE}" pid="4" name="DLPManualFileClassificationLastModificationDate">
    <vt:lpwstr>1610606950</vt:lpwstr>
  </property>
  <property fmtid="{D5CDD505-2E9C-101B-9397-08002B2CF9AE}" pid="5" name="DLPManualFileClassificationVersion">
    <vt:lpwstr>11.2.0.14</vt:lpwstr>
  </property>
</Properties>
</file>